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LWKG (Nordrhein-Westfalen) — Wahlbezirke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Wahlbezirke sind in der Regel die Kreise und kreisfreien Städte.</w:t>
      </w:r>
    </w:p>
    <w:p>
      <w:r>
        <w:t xml:space="preserve">(2) Mehrere benachbarte Kreise und kreisfreie Städte können zu Wahlbezirken zusammengeschlossen werden.</w:t>
      </w:r>
    </w:p>
    <w:p>
      <w:r>
        <w:t xml:space="preserve">(3) Die Wahlbezirke müssen entsprechend ihrer Bedeutung, mindestens aber mit drei Mitgliedern, vertreten sein. Der Begriff der Bedeutung wird in einer nach § 26 Nummer 2 zu erlassenden Rechtsverordnung geregelt.</w:t>
      </w:r>
    </w:p>
    <w:p>
      <w:r>
        <w:t xml:space="preserve">(4) Für jedes Mitglied ist mindestens ein Ersatzmitglied zu wählen.</w:t>
      </w:r>
    </w:p>
    <w:p>
      <w:r>
        <w:t xml:space="preserve">(5) Das Nähere bestimmen die Satzungen.</w:t>
      </w:r>
    </w:p>
    <w:p>
      <w:r>
        <w:rPr>
          <w:color w:val="555555"/>
          <w:sz w:val="17"/>
        </w:rPr>
        <w:t xml:space="preserve">Zitiervorschlag: § 9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