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LWKG (Nordrhein-Westfalen) — Geltungsbereich</w:t>
      </w:r>
    </w:p>
    <w:p>
      <w:r>
        <w:rPr>
          <w:color w:val="555555"/>
          <w:sz w:val="18"/>
        </w:rPr>
        <w:t xml:space="preserve">Landwirtschaftskammergesetz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Landwirtschaft im Sinn dieses Gesetzes umfasst den Acker- und Pflanzenbau, die Tierzucht und -haltung, den Garten-, Gemüse-, Obst- und Weinbau, die Forstwirtschaft, die Fischerei in den Binnengewässern und die Imkerei.</w:t>
      </w:r>
    </w:p>
    <w:p>
      <w:r>
        <w:t xml:space="preserve">(2) Zur Landwirtschaft gehören auch Unternehmen, die nicht unter Absatz 1 fallen, aber in wirtschaftlicher Abhängigkeit von einem Betrieb nach Absatz 1 durch dieselbe Unternehmerin oder denselben Unternehmer betrieben werden (landwirtschaftliche Nebenbetriebe).</w:t>
      </w:r>
    </w:p>
    <w:p>
      <w:r>
        <w:rPr>
          <w:color w:val="555555"/>
          <w:sz w:val="17"/>
        </w:rPr>
        <w:t xml:space="preserve">Zitiervorschlag: § 3 LWKG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https://recht.nulegal.eu/gesetze/LWKG/3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