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LWKG (Nordrhein-Westfalen) — Inkrafttreten, Außerkrafttreten</w:t>
      </w:r>
    </w:p>
    <w:p>
      <w:r>
        <w:rPr>
          <w:color w:val="555555"/>
          <w:sz w:val="18"/>
        </w:rPr>
        <w:t xml:space="preserve">Landwirtschaftskammergesetz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 Gleichzeitig tritt das Landwirtschaftskammergesetz vom 11. Februar 1949 (GV. NRW. S. 53), das zuletzt durch Artikel 8 des Gesetzes vom 1. Dezember 2020 (GV. NRW. S. 1109) geändert worden ist, außer Kraft.</w:t>
      </w:r>
    </w:p>
    <w:p>
      <w:r>
        <w:rPr>
          <w:color w:val="555555"/>
          <w:sz w:val="17"/>
        </w:rPr>
        <w:t xml:space="preserve">Zitiervorschlag: § 27 LWKG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https://recht.nulegal.eu/gesetze/LWKG/27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