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LWKG (Nordrhein-Westfalen) — Verordnungsermächtigung</w:t>
      </w:r>
    </w:p>
    <w:p>
      <w:r>
        <w:rPr>
          <w:color w:val="555555"/>
          <w:sz w:val="18"/>
        </w:rPr>
        <w:t xml:space="preserve">Landwirtschaftskammergesetz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Landwirtschaft zuständige Ministerium wird ermächtigt, durch Rechtsverordnung im Einvernehmen mit dem für Landwirtschaft zuständigen Ausschuss des Landtags des Landes Nordrhein-Westfalen Vorschriften zu erlassen über</w:t>
      </w:r>
    </w:p>
    <w:p>
      <w:r>
        <w:t xml:space="preserve">1. die Festsetzung des Wahltermins,</w:t>
      </w:r>
    </w:p>
    <w:p>
      <w:r>
        <w:t xml:space="preserve">2. die Bedeutung und Festlegung der Wahlbezirke,</w:t>
      </w:r>
    </w:p>
    <w:p>
      <w:r>
        <w:t xml:space="preserve">3. die Bildung und Tätigkeit des Wahlausschusses,</w:t>
      </w:r>
    </w:p>
    <w:p>
      <w:r>
        <w:t xml:space="preserve">4. die Ernennung von Wahlvorständen,</w:t>
      </w:r>
    </w:p>
    <w:p>
      <w:r>
        <w:t xml:space="preserve">5. die Erstellung der Wählerliste,</w:t>
      </w:r>
    </w:p>
    <w:p>
      <w:r>
        <w:t xml:space="preserve">6. die Einreichung und Zulassung von Wahlvorschlägen,</w:t>
      </w:r>
    </w:p>
    <w:p>
      <w:r>
        <w:t xml:space="preserve">7. die Durchführung der Wahl,</w:t>
      </w:r>
    </w:p>
    <w:p>
      <w:r>
        <w:t xml:space="preserve">8. die Feststellung des Wahlergebnisses,</w:t>
      </w:r>
    </w:p>
    <w:p>
      <w:r>
        <w:t xml:space="preserve">9. die Wahlprüfung,</w:t>
      </w:r>
    </w:p>
    <w:p>
      <w:r>
        <w:t xml:space="preserve">10. die Berufung von Mitgliedern in die Hauptversammlung,</w:t>
      </w:r>
    </w:p>
    <w:p>
      <w:r>
        <w:t xml:space="preserve">11. die Durchführung von Nachwahlen und</w:t>
      </w:r>
    </w:p>
    <w:p>
      <w:r>
        <w:t xml:space="preserve">12. die Wahl der Ortsstellen.</w:t>
      </w:r>
    </w:p>
    <w:p>
      <w:r>
        <w:t xml:space="preserve">Teil 5</w:t>
      </w:r>
    </w:p>
    <w:p>
      <w:r>
        <w:t xml:space="preserve">Schlussbestimmungen</w:t>
      </w:r>
    </w:p>
    <w:p>
      <w:r>
        <w:rPr>
          <w:color w:val="555555"/>
          <w:sz w:val="17"/>
        </w:rPr>
        <w:t xml:space="preserve">Zitiervorschlag: § 26 LWKG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https://recht.nulegal.eu/gesetze/LWKG/26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