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LWKG (Nordrhein-Westfalen) — Gebühren</w:t>
      </w:r>
    </w:p>
    <w:p>
      <w:r>
        <w:rPr>
          <w:color w:val="555555"/>
          <w:sz w:val="18"/>
        </w:rPr>
        <w:t xml:space="preserve">Landwirtschaftskammergesetz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Für</w:t>
      </w:r>
    </w:p>
    <w:p>
      <w:r>
        <w:t xml:space="preserve">1. eine besondere Verwaltungstätigkeit und</w:t>
      </w:r>
    </w:p>
    <w:p>
      <w:r>
        <w:t xml:space="preserve">2. die Benutzung von Einrichtungen und Anlagen</w:t>
      </w:r>
    </w:p>
    <w:p>
      <w:r>
        <w:t xml:space="preserve">der Landwirtschaftskammer kann die Landwirtschaftskammer Gebühren nach Maßgabe einer Gebührenordnung erheben, die von der Hauptversammlung zu beschließen, von der Aufsichtsbehörde zu genehmigen und gemäß § 4 Absatz 4 zu veröffentlichen ist. § 2 Absatz 1 Satz 2, § 5 und 6 des Kommunalabgabengesetzes für das Land Nordrhein-Westfalen vom 21. Oktober 1969 (GV. NRW. S. 712) in der jeweils geltenden Fassung gelten entsprechend.</w:t>
      </w:r>
    </w:p>
    <w:p>
      <w:r>
        <w:rPr>
          <w:color w:val="555555"/>
          <w:sz w:val="17"/>
        </w:rPr>
        <w:t xml:space="preserve">Zitiervorschlag: § 22 LWKG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https://recht.nulegal.eu/gesetze/LWKG/22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