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LWKG (Nordrhein-Westfalen) — Berufung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gewählten Mitglieder der Hauptversammlung haben als weitere Mitglieder der Hauptversammlung zu berufen:</w:t>
      </w:r>
    </w:p>
    <w:p>
      <w:r>
        <w:t xml:space="preserve">1. insgesamt vier Vertretungen aus dem Kreis der landwirtschaftlichen Wissenschaft und der um die Landwirtschaft verdienten Persönlichkeiten,</w:t>
      </w:r>
    </w:p>
    <w:p>
      <w:r>
        <w:t xml:space="preserve">2. fünf Wahlberechtigte der Wahlgruppe 1 und drei Wahlberechtigte der Wahlgruppe 2 aus dem Kreis der Verbände des Garten-, Gemüse-, Obst- und Weinbaus und aus dem Kreis der Privatwaldbesitzerinnen oder Privatwaldbesitzer,</w:t>
      </w:r>
    </w:p>
    <w:p>
      <w:r>
        <w:t xml:space="preserve">3. zwei Vertreterinnen aus dem Kreis der Verbände der Landfrauen, eine Vertreterin aus dem Kreis der landwirtschaftlichen Arbeitnehmerinnen sowie</w:t>
      </w:r>
    </w:p>
    <w:p>
      <w:r>
        <w:t xml:space="preserve">4. zwei Vertretungen aus der Wahlgruppe 1 und eine Vertretung aus der Wahlgruppe 2 aus dem Kreis der Verbände der Landjugend.</w:t>
      </w:r>
    </w:p>
    <w:p>
      <w:r>
        <w:t xml:space="preserve">Das Nähere wird in einer nach § 26 Nummer 10 erlassenen Rechtsverordnung geregelt.</w:t>
      </w:r>
    </w:p>
    <w:p>
      <w:r>
        <w:t xml:space="preserve">Kapitel 2</w:t>
      </w:r>
    </w:p>
    <w:p>
      <w:r>
        <w:t xml:space="preserve">Präsidentin oder Präsident, Ausschüsse,</w:t>
      </w:r>
    </w:p>
    <w:p>
      <w:r>
        <w:t xml:space="preserve">Direktorin oder Direktor der Landwirtschaftskammer, Kreis- und Ortsstellen</w:t>
      </w:r>
    </w:p>
    <w:p>
      <w:r>
        <w:rPr>
          <w:color w:val="555555"/>
          <w:sz w:val="17"/>
        </w:rPr>
        <w:t xml:space="preserve">Zitiervorschlag: § 15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