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LWKG (Nordrhein-Westfalen) — Ruhen des Wahlrechts</w:t>
      </w:r>
    </w:p>
    <w:p>
      <w:r>
        <w:rPr>
          <w:color w:val="555555"/>
          <w:sz w:val="18"/>
        </w:rPr>
        <w:t xml:space="preserve">Landwirtschaftskammergesetz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Ruht das aktive oder passive Wahlrecht nach anderen gesetzlichen Vorschriften als den Vorschriften dieses Gesetzes, so ruht es auch zu den Wahlen für die Hauptversammlung.</w:t>
      </w:r>
    </w:p>
    <w:p>
      <w:r>
        <w:t xml:space="preserve">Abschnitt 3</w:t>
      </w:r>
    </w:p>
    <w:p>
      <w:r>
        <w:t xml:space="preserve">Berufene Mitglieder</w:t>
      </w:r>
    </w:p>
    <w:p>
      <w:r>
        <w:rPr>
          <w:color w:val="555555"/>
          <w:sz w:val="17"/>
        </w:rPr>
        <w:t xml:space="preserve">Zitiervorschlag: § 14 LWKG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https://recht.nulegal.eu/gesetze/LWKG/14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