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LWKG (Nordrhein-Westfalen) — Körperschaft des öffentlichen Rechts</w:t>
      </w:r>
    </w:p>
    <w:p>
      <w:r>
        <w:rPr>
          <w:color w:val="555555"/>
          <w:sz w:val="18"/>
        </w:rPr>
        <w:t xml:space="preserve">Landwirtschaftskammergesetz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Landwirtschaftskammer Nordrhein-Westfalen ist eine Körperschaft des öffentlichen Rechts mit Dienstherrenfähigkeit.</w:t>
      </w:r>
    </w:p>
    <w:p>
      <w:r>
        <w:t xml:space="preserve">(2) Ihre Aufgaben, ihr Aufbau und ihre Organe werden durch die Vorschriften dieses Gesetzes und die Satzungen geregelt.</w:t>
      </w:r>
    </w:p>
    <w:p>
      <w:r>
        <w:rPr>
          <w:color w:val="555555"/>
          <w:sz w:val="17"/>
        </w:rPr>
        <w:t xml:space="preserve">Zitiervorschlag: § 1 LWKG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https://recht.nulegal.eu/gesetze/LWKG/1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