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LWGV (Bayern)</w:t>
      </w:r>
    </w:p>
    <w:p>
      <w:r>
        <w:rPr>
          <w:color w:val="555555"/>
          <w:sz w:val="18"/>
        </w:rPr>
        <w:t xml:space="preserve">Verordnung über die Bayerische Landesanstalt für Weinbau und Gartenbau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die Organisation, die Verwaltung und den Dienstbetrieb erläßt das Staatsministerium die erforderlichen Verwaltungsanordnungen.</w:t>
      </w:r>
    </w:p>
    <w:p>
      <w:r>
        <w:rPr>
          <w:color w:val="555555"/>
          <w:sz w:val="17"/>
        </w:rPr>
        <w:t xml:space="preserve">Zitiervorschlag: § 4 LWGV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https://recht.nulegal.eu/gesetze/LWGV/4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