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LWGV (Bayern)</w:t>
      </w:r>
    </w:p>
    <w:p>
      <w:r>
        <w:rPr>
          <w:color w:val="555555"/>
          <w:sz w:val="18"/>
        </w:rPr>
        <w:t xml:space="preserve">Verordnung über die Bayerische Landesanstalt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Landesanstalt unterhält zur Erfüllung ihrer Aufgaben</w:t>
      </w:r>
    </w:p>
    <w:p>
      <w:r>
        <w:t xml:space="preserve">1. Weinbau-, Kellerei- und Gartenbauversuchsbetriebe,</w:t>
      </w:r>
    </w:p>
    <w:p>
      <w:r>
        <w:t xml:space="preserve">2. eine Staatliche Technikerschule für Agrarwirtschaft – Fachrichtungen Gartenbau, Garten- und Landschaftsbau, Weinbau und Kellerwirtschaft –</w:t>
      </w:r>
    </w:p>
    <w:p>
      <w:r>
        <w:t xml:space="preserve">3. eine Staatliche Fachschule für Agrarwirtschaft – Fachrichtungen Gartenbau, Garten- und Landschaftsbau, Weinbau und Kellerwirtschaft –</w:t>
      </w:r>
    </w:p>
    <w:p>
      <w:r>
        <w:t xml:space="preserve">4. Bienenprüfhöfe.</w:t>
      </w:r>
    </w:p>
    <w:p>
      <w:r>
        <w:rPr>
          <w:color w:val="555555"/>
          <w:sz w:val="17"/>
        </w:rPr>
        <w:t xml:space="preserve">Zitiervorschlag: § 3 LWGV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