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LWGV (Bayern)</w:t>
      </w:r>
    </w:p>
    <w:p>
      <w:r>
        <w:rPr>
          <w:color w:val="555555"/>
          <w:sz w:val="18"/>
        </w:rPr>
        <w:t xml:space="preserve">Verordnung über die Bayerische Landesanstalt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Landesanstalt für Weinbau und Gartenbau (Landesanstalt) wird mit Sitz in Veitshöchheim errichtet. Sie ist dem Staatsministerium für Ernährung, Landwirtschaft, Forsten und Tourismus (Staatsministerium) unmittelbar nachgeordnet.</w:t>
      </w:r>
    </w:p>
    <w:p>
      <w:r>
        <w:rPr>
          <w:color w:val="555555"/>
          <w:sz w:val="17"/>
        </w:rPr>
        <w:t xml:space="preserve">Zitiervorschlag: § 1 LWGV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