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98 LWG - (Nordrhein-Westfalen) — Besondere Pflichten im Interesse der Wasserversorgung und Abwasserbeseitigung bei der Erteilung von Wasserrechten, Anzeigeverfahren und Grundlagenermittlung(zu § 101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§ 101 des Wasserhaushaltsgesetzes gilt zum Zweck der Erfüllung der Wasserversorgungspflicht nach § 38 sowie der Abwasserbeseitigungspflicht nach § 46 und für die Bediensteten der Gemeinde und die mit Berechtigungsausweis versehenen Beauftragen der Gemeinde entsprechend. Satz 1 gilt auch für Anlagen zur Ableitung von Abwasser, das der Gemeinde zu überlassen ist. Die Sätze 1 und 2 gelten auch für eine Körperschaft oder juristische Person des öffentlichen Recht, der nach § 52 die Abwasserbeseitigungspflicht übertragen wurde.</w:t>
      </w:r>
    </w:p>
    <w:p>
      <w:r>
        <w:t xml:space="preserve">(2) § 101 des Wasserhaushaltsgesetzes gilt entsprechend für Maßnahmen der zuständigen Behörde bei der Erteilung von Wasserrechten, Prüfung von Anzeigen und der Grundlagenermittlung.</w:t>
      </w:r>
    </w:p>
    <w:p>
      <w:r>
        <w:rPr>
          <w:color w:val="555555"/>
          <w:sz w:val="17"/>
        </w:rPr>
        <w:t xml:space="preserve">Zitiervorschlag: § 98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https://recht.nulegal.eu/gesetze/LWG%20-/98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