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LWG - (Nordrhein-Westfalen) — Verlagerung des Gewässers(zu § 4 Absatz 5 des Wasserhaushaltsgesetzes)</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Hat ein Gewässer zweiter Ordnung oder ein sonstiges Gewässer infolge natürlicher Ereignisse sein bisheriges Bett verlassen und sich ein neues Bett geschaffen, ist der frühere Zustand von dem zur Gewässerunterhaltung Verpflichteten wiederherzustellen, wenn es das Wohl der Allgemeinheit erfordert. Hierüber entscheidet die zuständige Behörde; sie kann Art und Umfang der Wiederherstellungsarbeiten bestimmen. § 64 Absatz 1 ist entsprechend und mit der Maßgabe anzuwenden, dass die Anteile der Erschwerer entfallen.</w:t>
      </w:r>
    </w:p>
    <w:p>
      <w:r>
        <w:t xml:space="preserve">(2) Erfordert das Wohl der Allgemeinheit die Wiederherstellung nicht, sind diejenigen Grundeigentümer und Nutzungsberechtigten, die von der Veränderung betroffen werden, insgesamt oder einzeln berechtigt, den früheren Zustand auf ihre Kosten wiederherzustellen, sofern das betroffene Grundstück im Geltungsbereich eines Bebauungsplans gemäß § 30 des Baugesetzbuchs in der Fassung der Bekanntmachung vom 3. November 2017 (BGBl. I S. 3634) in der jeweils geltenden Fassung oder innerhalb eines im Zusammenhang bebauten Ortsteils liegt. Das Gleiche gilt für andere Grundstücke mit genehmigter Bebauung, wenn mit der Veränderung des Gewässerbettes die zulässige Nutzung der Grundstücke erheblich beeinträchtigt wird. Absatz 1 Satz 2 gilt entsprechend.</w:t>
      </w:r>
    </w:p>
    <w:p>
      <w:r>
        <w:t xml:space="preserve">(3) Ordnet die zuständige Behörde die Wiederherstellung nach Absatz 1 nicht an und besteht kein Anspruch nach Absatz 2 auf Wiederherstellung, kann der Eigentümer des neuen Gewässerbettes vom Land Entschädigung verlangen.</w:t>
      </w:r>
    </w:p>
    <w:p>
      <w:r>
        <w:t xml:space="preserve">(4) Das Recht auf Wiederherstellung und Entschädigung erlischt binnen einer Frist von drei Jahren, gerechnet vom Ende des Jahres, in dem das Gewässer sein Bett verlassen hat. Liegen besondere Gründe vor, kann die zuständige Behörde die Frist verlängern.</w:t>
      </w:r>
    </w:p>
    <w:p>
      <w:r>
        <w:t xml:space="preserve">(5) Wird einem Gewässer zweiter Ordnung oder einem sonstigen Gewässer, das kein selbständiges Grundstück bildet, durch Baumaßnahmen ein neues Bett geschaffen, findet § 3 Anwendung.</w:t>
      </w:r>
    </w:p>
    <w:p>
      <w:r>
        <w:t xml:space="preserve">(6) Wird einem Gewässer zweiter Ordnung oder einem sonstigen Gewässer, das ein selbständiges Grundstück bildet, durch Baumaßnahmen ein neues Bett geschaffen, so wächst das Eigentum an den neuen Gewässerflächen dem Gewässereigentümer zu. Neue Eigentumsgrenze ist die Uferlinie.</w:t>
      </w:r>
    </w:p>
    <w:p>
      <w:r>
        <w:t xml:space="preserve">(7) Die Rechtsfolge der Absätze 5 oder 6 tritt nur ein, wenn das neue Gewässerbett auf rechtlich zulässige Weise geschaffen worden ist. In diesem Fall hat derjenige, der dies verursacht hat, die betroffenen Eigentümer zu entschädigen.</w:t>
      </w:r>
    </w:p>
    <w:p>
      <w:r>
        <w:t xml:space="preserve">(8) Tritt der Fall des Absatzes 1 bei Gewässern erster Ordnung ein, die Eigentum des Landes sind, so wird Eigentümer der neuen Gewässerstrecke das Land; die bisherigen Eigentümer des neuen Bettes sind zu entschädigen. Ist ein anderer als das Land Eigentümer des verlassenen Bettes, so hat er nach dem Maße seines Vorteils dem Land gegenüber zur Entschädigung beizutragen.</w:t>
      </w:r>
    </w:p>
    <w:p>
      <w:r>
        <w:rPr>
          <w:color w:val="555555"/>
          <w:sz w:val="17"/>
        </w:rPr>
        <w:t xml:space="preserve">Zitiervorschlag: § 9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