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LWG - (Nordrhein-Westfalen) — Uferabriss(zu § 4 Absatz 5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ein Stück Land durch Naturgewalt von dem Ufer abgerissen und mit einem anderen Ufergrundstück vereinigt, so wird es dessen Bestandteil, wenn es von diesem Grundstück nicht mehr unterschieden werden kann oder wenn die Vereinigung drei Jahre bestanden hat, ohne dass der Eigentümer oder ein sonst Berechtigter von seinem Recht, das abgerissene Stück wegzunehmen, Gebrauch gemacht hat.</w:t>
      </w:r>
    </w:p>
    <w:p>
      <w:r>
        <w:t xml:space="preserve">(2) Unter den gleichen Voraussetzungen wird ein abgerissenes Stück Land, das sich ohne Zusammenhang mit einem Ufer im Gewässer festgesetzt hat, Eigentum des Gewässereigentümers.</w:t>
      </w:r>
    </w:p>
    <w:p>
      <w:r>
        <w:rPr>
          <w:color w:val="555555"/>
          <w:sz w:val="17"/>
        </w:rPr>
        <w:t xml:space="preserve">Zitiervorschlag: § 8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