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LWG - (Nordrhein-Westfalen) — Grundsätze für den Gewässerausbau(zu § 67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Maßnahmen zum Gewässerausbau haben die im Bewirtschaftungsplan festgelegten Bewirtschaftungsziele, das Maßnahmenprogramm, die allgemeinen Grundsätze der Gewässerbewirtschaftung nach § 6 des Wasserhaushaltsgesetzes sowie die Vorgaben der §§ 27 bis 31 des Wasserhaushaltsgesetzes für die Bewirtschaftungsziele sowie den Risikomanagementplan nach § 75 des Wasserhaushaltsgesetzes und die durch das für Umwelt zuständige Ministerium im Ministerialblatt für das Land Nordrhein-Westfalen veröffentlichten Grundsätze für den Gewässerausbau zu beachten.</w:t>
      </w:r>
    </w:p>
    <w:p>
      <w:r>
        <w:t xml:space="preserve">Unterabschnitt 4</w:t>
      </w:r>
    </w:p>
    <w:p>
      <w:r>
        <w:t xml:space="preserve">Gemeinsame Vorschriften</w:t>
      </w:r>
    </w:p>
    <w:p>
      <w:r>
        <w:rPr>
          <w:color w:val="555555"/>
          <w:sz w:val="17"/>
        </w:rPr>
        <w:t xml:space="preserve">Zitiervorschlag: § 71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