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LWG - (Nordrhein-Westfalen) — Entscheidung in Fragen der Gewässerunterhaltung(zu §§ 39 bis 41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 Behörde stellt im Streitfall fest, wem die Pflicht zur Gewässerunterhaltung oder eine besondere Pflicht im Interesse der Gewässerunterhaltung obliegt. Sie setzt den Schadensersatz im Sinne des § 41 Absatz 4 des Wasserhaushaltsgesetzes fest.</w:t>
      </w:r>
    </w:p>
    <w:p>
      <w:r>
        <w:t xml:space="preserve">Unterabschnitt 2</w:t>
      </w:r>
    </w:p>
    <w:p>
      <w:r>
        <w:t xml:space="preserve">Ausgleich der Wasserführung</w:t>
      </w:r>
    </w:p>
    <w:p>
      <w:r>
        <w:rPr>
          <w:color w:val="555555"/>
          <w:sz w:val="17"/>
        </w:rPr>
        <w:t xml:space="preserve">Zitiervorschlag: § 65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https://recht.nulegal.eu/gesetze/LWG%20-/65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