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LWG - (Nordrhein-Westfalen) — Bisheriges Eigentum(zu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bei Inkrafttreten dieses Gesetzes das Eigentum an Gewässern erster Ordnung einem anderen als dem Bund oder dem Land, an Gewässern zweiter Ordnung oder an sonstigen Gewässern einem anderen als den Eigentümern der Ufergrundstücke zusteht, bleibt es aufrechterhalten.</w:t>
      </w:r>
    </w:p>
    <w:p>
      <w:r>
        <w:t xml:space="preserve">(2) Zugunsten des Landes ist die Enteignung von Gewässern erster Ordnung zulässig, soweit sie nicht dem Bund gehören. Das Landesenteignungs- und -entschädigungsgesetz vom 20. Juni 1989 (GV. NRW. S. 366, ber. S. 570) in der jeweils geltenden Fassung ist anzuwenden.</w:t>
      </w:r>
    </w:p>
    <w:p>
      <w:r>
        <w:rPr>
          <w:color w:val="555555"/>
          <w:sz w:val="17"/>
        </w:rPr>
        <w:t xml:space="preserve">Zitiervorschlag: § 5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