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LWG - (Nordrhein-Westfalen) — Heilquellenschutzgebiete(zu § 53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35 Absatz 1 Satz 1 sowie Absatz 2 bis 4 gilt bei Heilquellenschutzgebieten entsprechend. Die staatliche Anerkennung von Heilquellen auf Grund bisherigen Rechts gilt fort. Ordnungsbehördliche Verordnungen nach Satz 1 für Heilquellenschutzgebiete treten vierzig Jahre nach ihrem Inkrafttreten außer Kraft. § 32 Absatz 1 des Ordnungsbehördengesetzes wird nicht angewendet.</w:t>
      </w:r>
    </w:p>
    <w:p>
      <w:r>
        <w:t xml:space="preserve">(2) Auch außerhalb des Heilquellenschutzgebietes können Handlungen, die geeignet sind, den Bestand oder die Beschaffenheit einer staatlich anerkannten Heilquelle zu gefährden, untersagt werden. § 52 Absatz 4 und 5 des Wasserhaushaltsgesetzes gilt entsprechend.</w:t>
      </w:r>
    </w:p>
    <w:p>
      <w:r>
        <w:rPr>
          <w:color w:val="555555"/>
          <w:sz w:val="17"/>
        </w:rPr>
        <w:t xml:space="preserve">Zitiervorschlag: § 36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