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LWG - (Nordrhein-Westfalen) — Außer Betrieb Setzen, Beseitigen und Ändern von Benutzungsanlagen</w:t>
      </w:r>
    </w:p>
    <w:p>
      <w:r>
        <w:rPr>
          <w:color w:val="555555"/>
          <w:sz w:val="18"/>
        </w:rPr>
        <w:t xml:space="preserve">Landeswassergesetz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Anlagen zum Aufstauen, Absenken, Ableiten und Umleiten von Grundwasser ist § 26 entsprechend anzuwenden.</w:t>
      </w:r>
    </w:p>
    <w:p>
      <w:r>
        <w:t xml:space="preserve">(2) Auf die übrigen Anlagen zur Benutzung von Grundwasser ist § 25 entsprechend anzuwenden.</w:t>
      </w:r>
    </w:p>
    <w:p>
      <w:r>
        <w:rPr>
          <w:color w:val="555555"/>
          <w:sz w:val="17"/>
        </w:rPr>
        <w:t xml:space="preserve">Zitiervorschlag: § 33 LWG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https://recht.nulegal.eu/gesetze/LWG%20-/33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