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LWG - (Nordrhein-Westfalen) — Gewässerrandstreifen(zu § 38 des Wasserhaushaltsgesetzes)</w:t>
      </w:r>
    </w:p>
    <w:p>
      <w:r>
        <w:rPr>
          <w:color w:val="555555"/>
          <w:sz w:val="18"/>
        </w:rPr>
        <w:t xml:space="preserve">Landeswassergesetz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zuständige Behörde kann unter Beachtung der Grundsätze des § 6 des Wasserhaushaltsgesetzes und zur Erreichung der Bewirtschaftungsziele durch ordnungsbehördliche Verordnung an einem Gewässer oder einen Gewässerabschnitt</w:t>
      </w:r>
    </w:p>
    <w:p>
      <w:r>
        <w:t xml:space="preserve">1. weitergehende Regelungen zu Gewässerrandstreifen treffen, soweit es zum Schutz der Gewässer vor Schadstoffeinträgen erforderlich ist und</w:t>
      </w:r>
    </w:p>
    <w:p>
      <w:r>
        <w:t xml:space="preserve">2. im Gewässerrandstreifen nach § 38 Absatz 3 des Wasserhaushaltsgesetzes die Begründung von Baurechten und die Errichtung und Erweiterung von baulichen Anlagen verbieten, soweit es sich nicht um standortgebundene oder wasserwirtschaftlich erforderliche Anlagen handelt.</w:t>
      </w:r>
    </w:p>
    <w:p>
      <w:r>
        <w:t xml:space="preserve">(2) § 38 Absatz 5 des Wasserhaushaltsgesetzes gilt für die Verbote nach Absatz 1 entsprechend. Werden Eigentümern oder anderen Nutzungsberechtigten nach Absatz 1 Anforderungen auferlegt, durch die sie unverhältnismäßig oder im Verhältnis zu anderen ungleich und unzumutbar belastet werden, ist dafür Entschädigung zu leisten. § 96 des Wasserhaushaltsgesetzes gilt entsprechend.</w:t>
      </w:r>
    </w:p>
    <w:p>
      <w:r>
        <w:t xml:space="preserve">Abschnitt 3</w:t>
      </w:r>
    </w:p>
    <w:p>
      <w:r>
        <w:t xml:space="preserve">Bewirtschaftung des Grundwassers</w:t>
      </w:r>
    </w:p>
    <w:p>
      <w:r>
        <w:rPr>
          <w:color w:val="555555"/>
          <w:sz w:val="17"/>
        </w:rPr>
        <w:t xml:space="preserve">Zitiervorschlag: § 31 LWG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https://recht.nulegal.eu/gesetze/LWG%20-/31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LWG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