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LWG - (Nordrhein-Westfalen) — Eigentumsverhältnisse an Gewässern erster und zweiter Ordnung, sonstigeGewässer(zu § 4 Absatz 5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Gewässer erster Ordnung sind Eigentum des Landes, soweit sie nicht Bundeswasserstraßen sind.</w:t>
      </w:r>
    </w:p>
    <w:p>
      <w:r>
        <w:t xml:space="preserve">(2) Bildet ein Gewässer zweiter Ordnung oder ein sonstiges Gewässer kein selbständiges Grundstück, ist es Bestandteil der Ufergrundstücke und gehört deren Eigentümern.</w:t>
      </w:r>
    </w:p>
    <w:p>
      <w:r>
        <w:t xml:space="preserve">(3) Gehören die Ufer verschiedenen Eigentümern, so ist vorbehaltlich abweichender privatrechtlicher Regelungen Eigentumsgrenze</w:t>
      </w:r>
    </w:p>
    <w:p>
      <w:r>
        <w:t xml:space="preserve">1. für gegenüberliegende Ufergrundstücke eine durch die Mitte des Gewässers bei Mittelwasserstand zu ziehende Linie,</w:t>
      </w:r>
    </w:p>
    <w:p>
      <w:r>
        <w:t xml:space="preserve">2. für nebeneinander liegende Ufergrundstücke die Senkrechte von dem Endpunkt der Landgrenze auf die in Nummer 1 bezeichnete Mittellinie.</w:t>
      </w:r>
    </w:p>
    <w:p>
      <w:r>
        <w:t xml:space="preserve">(4) Als Mittelwasserstand gilt das Mittel der Wasserstände derjenigen zwanzig Jahre, die jeweils dem letzten Jahr vorangehen, in dessen Jahreszahl die Zahl Zehn aufgeht. Stehen Pegelbeobachtungen für diesen zwanzigjährigen Zeitraum nicht zur Verfügung, so kann eine andere Jahresreihe verwendet werden. Solange Pegelbeobachtungen nicht vorliegen, bestimmt sich der Mittelwasserstand nach der Grenze des Graswuchses.</w:t>
      </w:r>
    </w:p>
    <w:p>
      <w:r>
        <w:t xml:space="preserve">(5) Ist Absatz 3 wegen der besonderen Form des Gewässers nicht anwendbar, so steht das Eigentum an dem Gewässer den Eigentümern der Ufergrundstücke nach dem Verhältnis ihrer Uferstrecken zu.</w:t>
      </w:r>
    </w:p>
    <w:p>
      <w:r>
        <w:t xml:space="preserve">(6) An Grenzgewässern, die die Grenze zum Land Rheinland-Pfalz bilden, reicht, soweit die Eigentumsverhältnisse nicht anderweitig geregelt sind, das Gewässereigentum bis zur Landesgrenze.</w:t>
      </w:r>
    </w:p>
    <w:p>
      <w:r>
        <w:rPr>
          <w:color w:val="555555"/>
          <w:sz w:val="17"/>
        </w:rPr>
        <w:t xml:space="preserve">Zitiervorschlag: § 3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