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LWG - (Nordrhein-Westfalen) — Anlagen zur Benutzung eines Gewässers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Anlagen zur Benutzung eines Gewässers sind nach Wegfall der Benutzungsbefugnis zu beseitigen, sobald die zuständige Behörde es anordnet. Dabei kann verlangt werden, dass der frühere Zustand wiederhergestellt wird.</w:t>
      </w:r>
    </w:p>
    <w:p>
      <w:r>
        <w:t xml:space="preserve">(2) Anlagen nach Absatz 1 dürfen geändert werden, wenn dadurch die Benutzung nicht über das zugelassene Maß hinaus erweitert wird und ordnungsrechtliche Vorschriften nicht entgegenstehen. Die beabsichtigte Änderung ist zwei Monate vorher unter Beifügung der zur Beurteilung erforderlichen Zeichnungen, Nachweise und Beschreibungen der zuständigen Behörde anzuzeigen.</w:t>
      </w:r>
    </w:p>
    <w:p>
      <w:r>
        <w:rPr>
          <w:color w:val="555555"/>
          <w:sz w:val="17"/>
        </w:rPr>
        <w:t xml:space="preserve">Zitiervorschlag: § 25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