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LWG - (Nordrhein-Westfalen) — Bewilligung(zu § 10 des Wasserhaushaltsgesetzes)</w:t>
      </w:r>
    </w:p>
    <w:p>
      <w:r>
        <w:rPr>
          <w:color w:val="555555"/>
          <w:sz w:val="18"/>
        </w:rPr>
        <w:t xml:space="preserve">Landeswassergesetz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Auf die Ansprüche aus dem bewilligten Recht sind die für die Ansprüche aus dem Eigentum geltenden Vorschriften des bürgerlichen Rechts entsprechend anzuwenden.</w:t>
      </w:r>
    </w:p>
    <w:p>
      <w:r>
        <w:rPr>
          <w:color w:val="555555"/>
          <w:sz w:val="17"/>
        </w:rPr>
        <w:t xml:space="preserve">Zitiervorschlag: § 15 LWG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https://recht.nulegal.eu/gesetze/LWG%20-/15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