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125 LWG - (Nordrhein-Westfalen) — Überleitung</w:t>
      </w:r>
    </w:p>
    <w:p>
      <w:r>
        <w:rPr>
          <w:color w:val="555555"/>
          <w:sz w:val="18"/>
        </w:rPr>
        <w:t xml:space="preserve">Landeswassergesetz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Bei Inkrafttreten dieses Gesetzes bereits begonnene Verfahren sind nach den bisher geltenden Verfahrensvorschriften zu Ende zu führen.</w:t>
      </w:r>
    </w:p>
    <w:p>
      <w:r>
        <w:t xml:space="preserve">(2) Eine Genehmigung, die vor dem 16. Juli 2016</w:t>
      </w:r>
    </w:p>
    <w:p>
      <w:r>
        <w:t xml:space="preserve">1. nach § 99 des Landeswassergesetzes in der bis dahin geltenden Fassung erteilt worden ist, gilt als Genehmigung nach § 22 fort,</w:t>
      </w:r>
    </w:p>
    <w:p>
      <w:r>
        <w:t xml:space="preserve">2. nach § 58 Absatz 2 des Landeswassergesetzes in der bis dahin geltenden Fassung erteilt worden ist, gilt als Genehmigung nach § 57 Absatz 2 fort.</w:t>
      </w:r>
    </w:p>
    <w:p>
      <w:r>
        <w:t xml:space="preserve">(3) Eine Erlaubnis, die vor dem 16. Juli 2016 nach § 44 Absatz 1 des Landeswassergesetzes in der bis dahin geltenden Fassung im vereinfachten Verfahren erteilt worden ist, gilt fort.</w:t>
      </w:r>
    </w:p>
    <w:p>
      <w:r>
        <w:t xml:space="preserve">(4) Die auf Grund des bisherigen Rechts erlassenen ordnungsbehördlichen Verordnungen gelten bis zum Inkrafttreten von auf Grund dieses Gesetzes erlassenen entsprechenden Verordnungen fort. § 35 Absatz 1 Satz 2 gilt auch für die auf Grund bisherigen Rechts erlassenen entsprechenden Verordnungen. § 83 Absatz 1 Satz 2 gilt auch für die auf Grund bisherigen Rechts erlassenen entsprechenden Verordnungen.</w:t>
      </w:r>
    </w:p>
    <w:p>
      <w:r>
        <w:t xml:space="preserve">(5) Heilquellen, die auf Grund bisherigen Rechts staatlich anerkannt sind oder deren Gemeinnützigkeit auf Grund bisherigen Rechts festgestellt ist, gelten als anerkannte Heilquellen nach § 53 Absatz 2 des Wasserhaushaltsgesetzes.</w:t>
      </w:r>
    </w:p>
    <w:p>
      <w:r>
        <w:rPr>
          <w:color w:val="555555"/>
          <w:sz w:val="17"/>
        </w:rPr>
        <w:t xml:space="preserve">Zitiervorschlag: § 125 LWG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https://recht.nulegal.eu/gesetze/LWG%20-/125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125 LWG -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