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120 LWG - (Nordrhein-Westfalen) — Fähren</w:t>
      </w:r>
    </w:p>
    <w:p>
      <w:r>
        <w:rPr>
          <w:color w:val="555555"/>
          <w:sz w:val="18"/>
        </w:rPr>
        <w:t xml:space="preserve">Landeswassergesetz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Einrichtung und Ausübung eines Fährbetriebes bedarf der Genehmigung.</w:t>
      </w:r>
    </w:p>
    <w:p>
      <w:r>
        <w:t xml:space="preserve">(2) Die Genehmigung ist nicht erforderlich, soweit auf Grund staatlicher oder sonstiger Fährrechte (Fährregal, Fährgerechtigkeit, Fährgerechtsame) eine Fähre rechtmäßig betrieben wird.</w:t>
      </w:r>
    </w:p>
    <w:p>
      <w:r>
        <w:t xml:space="preserve">(3) Die Genehmigung ist zu versagen, wenn Gründe des öffentlichen Verkehrsinteresses oder der Unzuverlässigkeit des Unternehmers ihr entgegenstehen.</w:t>
      </w:r>
    </w:p>
    <w:p>
      <w:r>
        <w:t xml:space="preserve">(4) Die Fährrechte des Landes sind aufgehoben; sonstige Fährrechte können durch Erklärung des Inhabers aufgehoben werden.</w:t>
      </w:r>
    </w:p>
    <w:p>
      <w:r>
        <w:t xml:space="preserve">(5) Das für Verkehr zuständige Ministerium wird ermächtigt, durch Rechtsverordnung die Betriebs- und Beförderungspflicht unter Berücksichtigung der Verkehrsbedürfnisse im Rahmen des dem Unternehmen Zumutbaren zu regeln.</w:t>
      </w:r>
    </w:p>
    <w:p>
      <w:r>
        <w:rPr>
          <w:color w:val="555555"/>
          <w:sz w:val="17"/>
        </w:rPr>
        <w:t xml:space="preserve">Zitiervorschlag: § 120 LWG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https://recht.nulegal.eu/gesetze/LWG%20-/120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