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115 LWG - (Nordrhein-Westfalen) — Sonderordnungsbehörden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Wasserbehörden sind Sonderordnungsbehörden. Die ihnen nach dem Wasserhaushaltsgesetz und diesem Gesetz obliegenden Aufgaben gelten als solche der Gefahrenabwehr.</w:t>
      </w:r>
    </w:p>
    <w:p>
      <w:r>
        <w:rPr>
          <w:color w:val="555555"/>
          <w:sz w:val="17"/>
        </w:rPr>
        <w:t xml:space="preserve">Zitiervorschlag: § 115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