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LWG - (Nordrhein-Westfalen) — Festsetzen von Wasserschutz- und Heilquellenschutzgebieten</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Verfahren zur Festsetzung von Wasserschutz- und Heilquellenschutzgebieten werden von Amts wegen eingeleitet und durchgeführt. Sie finden mit dem Erlass der Verordnung nach den §§ 51, 52 und 53 des Wasserhaushaltsgesetzes in Verbindung mit den §§ 35, 36 zur Festsetzung des Wasserschutz- oder Heilquellenschutzgebietes ihren Abschluss. Der Entwurf der Verordnung und das zugrunde liegende Gutachten sind in den Gemeinden auszulegen, in denen sich die Verordnung auswirkt. Die Auslegung ist ortsüblich bekanntzumachen. § 73 Absatz 4 des Verwaltungsverfahrensgesetzes für das Land Nordrhein-Westfalen ist entsprechend anzuwenden. Der Entwurf der Verordnung und das zugrunde liegende Gutachten können mit den Beteiligten erörtert werden.</w:t>
      </w:r>
    </w:p>
    <w:p>
      <w:r>
        <w:t xml:space="preserve">Kapitel 8</w:t>
      </w:r>
    </w:p>
    <w:p>
      <w:r>
        <w:t xml:space="preserve">Behördenaufbau, Zuständigkeiten</w:t>
      </w:r>
    </w:p>
    <w:p>
      <w:r>
        <w:rPr>
          <w:color w:val="555555"/>
          <w:sz w:val="17"/>
        </w:rPr>
        <w:t xml:space="preserve">Zitiervorschlag: § 113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