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112 LWG - (Nordrhein-Westfalen) — Verordnungen der oberen und unteren Wasserbehörden</w:t>
      </w:r>
    </w:p>
    <w:p>
      <w:r>
        <w:rPr>
          <w:color w:val="555555"/>
          <w:sz w:val="18"/>
        </w:rPr>
        <w:t xml:space="preserve">Landeswassergesetz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Erstreckt sich der Geltungsbereich einer Verordnung oder einzelner ihrer Bestimmungen nicht auf das Gebiet des Landes, eines Regierungsbezirks oder einer Gebietskörperschaft, ist der Geltungsbereich in der Verordnung zu beschreiben oder in Karten, Plänen oder Verzeichnissen darzustellen, die einen Bestandteil der Verordnung bilden. Die Karten, Pläne oder Verzeichnisse müssen erkennen lassen, welche Grundflächen von der Verordnung betroffen werden. Im Zweifel gilt ein Eigentümer oder Nutzungsberechtigter als nicht betroffen.</w:t>
      </w:r>
    </w:p>
    <w:p>
      <w:r>
        <w:t xml:space="preserve">(2) Sind Karten, Pläne oder Verzeichnisse Bestandteile einer Verordnung oder der vorläufigen Sicherung einer Fläche, kann die Verkündung dieser Teile dadurch ersetzt werden, dass sie während der Geltungsdauer der Verordnung zu jedermanns Einsicht bei den Gemeinden ausgelegt werden, deren Gebiet von der Verordnung betroffen wird, sofern der Inhalt der Karten, Pläne oder Verzeichnisse zugleich in der Verordnung grob umschrieben wird. Im textlichen Teil der Verordnung müssen Ort und Zeit der Auslegung bezeichnet sein.</w:t>
      </w:r>
    </w:p>
    <w:p>
      <w:r>
        <w:rPr>
          <w:color w:val="555555"/>
          <w:sz w:val="17"/>
        </w:rPr>
        <w:t xml:space="preserve">Zitiervorschlag: § 112 LWG -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https://recht.nulegal.eu/gesetze/LWG%20-/112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