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111 LWG - (Nordrhein-Westfalen) — Sicherheitsleistung</w:t>
      </w:r>
    </w:p>
    <w:p>
      <w:r>
        <w:rPr>
          <w:color w:val="555555"/>
          <w:sz w:val="18"/>
        </w:rPr>
        <w:t xml:space="preserve">Landeswassergesetz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zuständige Behörde kann die Leistung einer Sicherheit verlangen, soweit sie erforderlich ist, um die Erfüllung von Nebenbestimmungen und sonstigen Verpflichtungen zu sichern. Der Staat und die Gebietskörperschaften und Anstalten des öffentlichen Rechts sind von der Sicherheitsleistung frei; dasselbe gilt für sonstige öffentlich-rechtliche Körperschaften, sofern nicht im Einzelfall etwas anderes bestimmt wird. Auf Sicherheitsleistungen sind die §§ 232 und 234 bis 240 des Bürgerlichen Gesetzbuches anzuwenden.</w:t>
      </w:r>
    </w:p>
    <w:p>
      <w:r>
        <w:t xml:space="preserve">Abschnitt 2</w:t>
      </w:r>
    </w:p>
    <w:p>
      <w:r>
        <w:t xml:space="preserve">Verordnungen</w:t>
      </w:r>
    </w:p>
    <w:p>
      <w:r>
        <w:rPr>
          <w:color w:val="555555"/>
          <w:sz w:val="17"/>
        </w:rPr>
        <w:t xml:space="preserve">Zitiervorschlag: § 111 LWG -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https://recht.nulegal.eu/gesetze/LWG%20-/111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