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108 LWG - (Nordrhein-Westfalen) — Sondervorschrift für Wasserverbände</w:t>
      </w:r>
    </w:p>
    <w:p>
      <w:r>
        <w:rPr>
          <w:color w:val="555555"/>
          <w:sz w:val="18"/>
        </w:rPr>
        <w:t xml:space="preserve">Landeswassergesetz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Pläne für die Durchführung von Unternehmen der Wasserverbände können in einem Planfeststellungsverfahren nach Teil V Abschnitt 2 des Verwaltungsverfahrensgesetzes für das Land Nordrhein-Westfalen festgestellt werden, wenn der Verband es beantragt oder nach der Entscheidung der Aufsichtsbehörde des Verbands mit einer erheblichen Beeinträchtigung des Wohls der Allgemeinheit oder mit Einwendungen zu rechnen ist. § 69 Absatz 2 des Wasserhaushaltsgesetzes ist entsprechend anzuwenden. Satz 1 gilt nicht für Gewässerbenutzungen. Wenn mit dem Plan eine Gewässerbenutzung verbunden ist, wird § 75 Absatz 1 des Verwaltungsverfahrensgesetzes für das Land Nordrhein-Westfalen auf die Zulassung der Gewässerbenutzung nicht angewendet.</w:t>
      </w:r>
    </w:p>
    <w:p>
      <w:r>
        <w:rPr>
          <w:color w:val="555555"/>
          <w:sz w:val="17"/>
        </w:rPr>
        <w:t xml:space="preserve">Zitiervorschlag: § 108 LWG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https://recht.nulegal.eu/gesetze/LWG%20-/108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