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107 LWG - (Nordrhein-Westfalen) — Gewässerausbauverfahren(zu § 68 des Wasserhaushaltsgesetzes)</w:t>
      </w:r>
    </w:p>
    <w:p>
      <w:r>
        <w:rPr>
          <w:color w:val="555555"/>
          <w:sz w:val="18"/>
        </w:rPr>
        <w:t xml:space="preserve">Landeswassergesetz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Dient der Gewässerausbau der Schifffahrt oder der Errichtung von Häfen, Lande- und Umschlagstellen, so bedarf die Einleitung des Planfeststellungsverfahrens der Zustimmung der für Verkehr zuständigen obersten Landesbehörde. Die Zustimmung darf nur versagt werden, wenn das Wohl der Allgemeinheit es erfordert.</w:t>
      </w:r>
    </w:p>
    <w:p>
      <w:r>
        <w:t xml:space="preserve">(2) Die zuständige Behörde kann die Frist für das Außerkrafttreten der Planfeststellung und Plangenehmigung nach § 75 Absatz 4 des Verwaltungsverfahrensgesetzes für das Land Nordrhein-Westfalen um höchstens fünf Jahre verlängern.</w:t>
      </w:r>
    </w:p>
    <w:p>
      <w:r>
        <w:rPr>
          <w:color w:val="555555"/>
          <w:sz w:val="17"/>
        </w:rPr>
        <w:t xml:space="preserve">Zitiervorschlag: § 107 LWG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https://recht.nulegal.eu/gesetze/LWG%20-/107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