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100 LWG - (Nordrhein-Westfalen) — Wasser- und Hochwassergefahr</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Werden zur Abwendung einer durch Hochwasser, Eisgang, Überflutungen durch Starkregen oder andere Ereignisse bedingten gegenwärtigen Wassergefahr augenblickliche Vorkehrungen notwendig, so sind, sofern es ohne erhebliche eigene Nachteile geschehen kann, alle benachbarten Gemeinden, auch wenn sie nicht bedroht sind, verpflichtet, auf Anforderung der zuständigen Behörde die erforderliche Hilfe zu leisten.</w:t>
      </w:r>
    </w:p>
    <w:p>
      <w:r>
        <w:t xml:space="preserve">(2) Ist ein Deich bei Hochwasser gefährdet, so haben alle Bewohner der bedrohten und, falls erforderlich, der benachbarten Gebiete auf Anforderung der zuständigen Behörde zu den Schutzarbeiten Hilfe zu leisten und die erforderlichen Arbeitsgeräte, Beförderungsmittel und Baustoffe zur Verfügung zu stellen. Den in Anspruch genommenen Bewohnern des bedrohten Gebietes ist auf Verlangen Entschädigung zu gewähren. Der den in Anspruch genommenen Bewohnern benachbarter Gebiete entstehende Schaden ist in entsprechender Anwendung der §§ 40 und 41 des Ordnungsbehördengesetzes zu ersetzen. § 43 Absatz 2 des Ordnungsbehördengesetzes gilt entsprechend. Entschädigungspflichtig ist der Unterhaltungspflichtige. Kommt es zu keiner gütlichen Einigung, setzt die zuständige Behörde die Höhe der Entschädigung fest.</w:t>
      </w:r>
    </w:p>
    <w:p>
      <w:r>
        <w:t xml:space="preserve">(3) Bei Hochwassergefahr sind die Unternehmer von Stauanlagen verpflichtet, die Anlagen nach näherer Anordnung der zuständigen Behörde ohne Entschädigung für die Hochwasserabführung und Hochwasserrückhaltung einzusetzen.</w:t>
      </w:r>
    </w:p>
    <w:p>
      <w:r>
        <w:t xml:space="preserve">Kapitel 6</w:t>
      </w:r>
    </w:p>
    <w:p>
      <w:r>
        <w:t xml:space="preserve">Enteignung, Entschädigung, Ausgleich</w:t>
      </w:r>
    </w:p>
    <w:p>
      <w:r>
        <w:rPr>
          <w:color w:val="555555"/>
          <w:sz w:val="17"/>
        </w:rPr>
        <w:t xml:space="preserve">Zitiervorschlag: § 100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https://recht.nulegal.eu/gesetze/LWG%20-/100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