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LVV (Nordrhein-Westfalen)</w:t>
      </w:r>
    </w:p>
    <w:p>
      <w:r>
        <w:rPr>
          <w:color w:val="555555"/>
          <w:sz w:val="18"/>
        </w:rPr>
        <w:t xml:space="preserve">Lehrverpflichtungsverordnung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24. Juni 2009</w:t>
      </w:r>
    </w:p>
    <w:p>
      <w:r>
        <w:t xml:space="preserve">Aufgrund des § 33 Absatz 5 des Hochschulgesetzes vom 31. Oktober 2006 (GV. NRW. S. 474), zuletzt geändert durch Artikel 2 des Fachhochschulausbaugesetzes vom 21. April 2009 (GV. NRW. S. 255), wird verordnet:</w:t>
      </w:r>
    </w:p>
    <w:p>
      <w:r>
        <w:rPr>
          <w:color w:val="555555"/>
          <w:sz w:val="17"/>
        </w:rPr>
        <w:t xml:space="preserve">Zitiervorschlag: Eingangsformel LVV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