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LVV (Nordrhein-Westfalen) — Inkrafttreten, Berichtspflicht</w:t>
      </w:r>
    </w:p>
    <w:p>
      <w:r>
        <w:rPr>
          <w:color w:val="555555"/>
          <w:sz w:val="18"/>
        </w:rPr>
        <w:t xml:space="preserve">Lehrverpflichtungsverordnung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 Verordnung tritt am 15. August 2009 in Kraft.</w:t>
      </w:r>
    </w:p>
    <w:p>
      <w:r>
        <w:t xml:space="preserve">(2) Die Lehrerverpflichtungsverordnung vom 30. August 1999 (GV.NRW. S. 518) wird mit Inkrafttreten dieser Verordnung aufgehoben.</w:t>
      </w:r>
    </w:p>
    <w:p>
      <w:r>
        <w:rPr>
          <w:color w:val="555555"/>
          <w:sz w:val="17"/>
        </w:rPr>
        <w:t xml:space="preserve">Zitiervorschlag: § 9 LVV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https://recht.nulegal.eu/gesetze/LVV/9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