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LVV (Nordrhein-Westfalen) — In früherer dienstrechtlicher Stellung verbliebene Beamtinnen und Beamte</w:t>
      </w:r>
    </w:p>
    <w:p>
      <w:r>
        <w:rPr>
          <w:color w:val="555555"/>
          <w:sz w:val="18"/>
        </w:rPr>
        <w:t xml:space="preserve">Lehrverpflichtungsverordnung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vorstehenden Bestimmungen gelten auch für die nach § 120 Hochschulgesetz (in der bis zum 31. Dezember 2006 geltenden Fassung) in der früheren dienstrechtlichen Stellung verbliebenen Beamtinnen und Beamten. Studienprofessorinnen und Studienprofessoren haben eine Lehrverpflichtung von 13 Lehrveranstaltungsstunden.</w:t>
      </w:r>
    </w:p>
    <w:p>
      <w:r>
        <w:rPr>
          <w:color w:val="555555"/>
          <w:sz w:val="17"/>
        </w:rPr>
        <w:t xml:space="preserve">Zitiervorschlag: § 6 LVV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https://recht.nulegal.eu/gesetze/LVV/6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