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LVV (Nordrhein-Westfalen) — Begriffsbestimmungen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Umfang der Lehrverpflichtung wird nach Lehrveranstaltungsstunden angegeben. Eine Lehrveranstaltungsstunde umfasst eine Lehrtätigkeit von mindestens 45 Minuten je Woche der jeweils maßgeblichen Vorlesungszeit des Semesters.</w:t>
      </w:r>
    </w:p>
    <w:p>
      <w:r>
        <w:t xml:space="preserve">(2) Digital gestützte Lehrveranstaltungen sind solche, die ausschließlich online stattfinden oder neben oder während in Präsenz stattfindender Lehre in nicht nur unerheblichem Umfang digitale Lehr- und Lernelemente enthalten. Sie sind Lehrveranstaltungen im Sinne dieser Verordnung. Insbesondere die Digitallehre im Sinne des § 12 Absatz 1 Nummer 4 der Hochschul-Digitalverordnung vom 30. Oktober 2020 (GV. NRW. S. 1056), die zuletzt durch Artikel 1 der Verordnung vom 8. September 2023 (GV. NRW. S. 1116) geändert worden ist, ist eine digital gestützte Lehrveranstaltung im Sinne des Satzes 1.</w:t>
      </w:r>
    </w:p>
    <w:p>
      <w:r>
        <w:rPr>
          <w:color w:val="555555"/>
          <w:sz w:val="17"/>
        </w:rPr>
        <w:t xml:space="preserve">Zitiervorschlag: § 1a LVV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https://recht.nulegal.eu/gesetze/LVV/1a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