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LVV (Nordrhein-Westfalen) — Geltungsbereich</w:t>
      </w:r>
    </w:p>
    <w:p>
      <w:r>
        <w:rPr>
          <w:color w:val="555555"/>
          <w:sz w:val="18"/>
        </w:rPr>
        <w:t xml:space="preserve">Lehrverpflichtungsverordnung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Personal der Universitäten und Hochschulen für angewandte Wissenschaften des Landes Nordrhein-Westfalen ist nach Maßgabe dieser Verordnung zur Wahrnehmung von Lehraufgaben verpflichtet, soweit ihm Lehraufgaben obliegen (Lehrende).</w:t>
      </w:r>
    </w:p>
    <w:p>
      <w:r>
        <w:rPr>
          <w:color w:val="555555"/>
          <w:sz w:val="17"/>
        </w:rPr>
        <w:t xml:space="preserve">Zitiervorschlag: § 1 LVV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https://recht.nulegal.eu/gesetze/LVV/1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