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LVOPol (Nordrhein-Westfalen) — Berufliche Entwicklung in den Laufbahnabschnitt II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berufliche Entwicklung von Polizeivollzugsbeamtinnen und Polizeivollzugsbeamten, die in den Laufbahnabschnitt I eingestellt wurden und die II. Fachprüfung nicht abgelegt haben, aus dem Endamt des Laufbahnabschnitts I in ein Amt der Besoldungsgruppe A 9 des Laufbahnabschnitts II ist nach drei Jahren zulässig.</w:t>
      </w:r>
    </w:p>
    <w:p>
      <w:r>
        <w:t xml:space="preserve">(2) Eine Beförderung ist bis zur Besoldungsgruppe A 11 möglich. Führungsfunktionen können nicht übernommen werden.</w:t>
      </w:r>
    </w:p>
    <w:p>
      <w:r>
        <w:rPr>
          <w:color w:val="555555"/>
          <w:sz w:val="17"/>
        </w:rPr>
        <w:t xml:space="preserve">Zitiervorschlag: § 6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