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LVOPol (Nordrhein-Westfalen) — Zulassung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Erfolgreiche Absolventen des Bildungsganges nach § 9 sind abweichend von Absatz 2 für die Ausbildung für den Laufbahnabschnitt II zuzulassen.</w:t>
      </w:r>
    </w:p>
    <w:p>
      <w:r>
        <w:t xml:space="preserve">(2) Über die Zulassung zur Ausbildung für den Laufbahnabschnitt II entscheidet das für Inneres zuständige Ministerium nach erfolgreicher Teilnahme am Auswahlverfahren im Rahmen der Ausbildungskapazitäten für den Laufbahnabschnitt II unter Berücksichtigung der im Auswahlverfahren bestimmten Rangfolge.</w:t>
      </w:r>
    </w:p>
    <w:p>
      <w:r>
        <w:t xml:space="preserve">(3) Werden Umstände bekannt, dass die Anwärterin oder der Anwärter ungeeignet ist, kann die Zulassung zur Ausbildung für den Laufbahnabschnitt II widerrufen werden.</w:t>
      </w:r>
    </w:p>
    <w:p>
      <w:r>
        <w:rPr>
          <w:color w:val="555555"/>
          <w:sz w:val="17"/>
        </w:rPr>
        <w:t xml:space="preserve">Zitiervorschlag: § 17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