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LVOPol (Nordrhein-Westfalen) — Zulassungstermin</w:t>
      </w:r>
    </w:p>
    <w:p>
      <w:r>
        <w:rPr>
          <w:color w:val="555555"/>
          <w:sz w:val="18"/>
        </w:rPr>
        <w:t xml:space="preserve">Laufbahnverordnung der Polizei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Den Stichtag für den Beginn der Ausbildung für den Laufbahnabschnitt II bestimmt das für Inneres zuständige Ministerium. Zu diesem Zeitpunkt müssen die in § 13 genannten Voraussetzungen erfüllt sein.</w:t>
      </w:r>
    </w:p>
    <w:p>
      <w:r>
        <w:rPr>
          <w:color w:val="555555"/>
          <w:sz w:val="17"/>
        </w:rPr>
        <w:t xml:space="preserve">Zitiervorschlag: § 15 LVOPol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https://recht.nulegal.eu/gesetze/LVOPol/15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