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LVO (Brandenburg) — Inkrafttreten, Außerkrafttreten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 Gleichzeitig tritt die Laufbahnverordnung vom 16. September 2009 (GVBl. II S. 622), die durch Artikel 2 der Verordnung vom 2. Februar 2016 (GVBl. II Nr. 4 S. 10) geändert worden ist, außer Kraft.</w:t>
      </w:r>
    </w:p>
    <w:p>
      <w:r>
        <w:t xml:space="preserve">Einzelnorm</w:t>
      </w:r>
    </w:p>
    <w:p>
      <w:r>
        <w:t xml:space="preserve">Potsdam, den 1. Oktober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35 LVO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