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LVO (Brandenburg) — Feststellung der Befähigung</w:t>
      </w:r>
    </w:p>
    <w:p>
      <w:r>
        <w:rPr>
          <w:color w:val="555555"/>
          <w:sz w:val="18"/>
        </w:rPr>
        <w:t xml:space="preserve">Laufbahnverordnung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oberste Dienstbehörde entscheidet aufgrund der nach den §§ 28 und 29 zu fordernden Nachweise über den Erwerb der Laufbahnbefähigung; sie kann diese Befugnis bei Laufbahnen des mittleren und des gehobenen Dienstes auf andere Stellen übertragen.</w:t>
      </w:r>
    </w:p>
    <w:p>
      <w:r>
        <w:t xml:space="preserve">(2) Die Feststellung nach Absatz 1 muss</w:t>
      </w:r>
    </w:p>
    <w:p>
      <w:r>
        <w:t xml:space="preserve">den Zeitpunkt des Befähigungserwerbs,</w:t>
      </w:r>
    </w:p>
    <w:p>
      <w:r>
        <w:t xml:space="preserve">die Bezeichnung der Laufbahn und</w:t>
      </w:r>
    </w:p>
    <w:p>
      <w:r>
        <w:t xml:space="preserve">die Laufbahngruppe, sofern die Laufbahn mehreren Laufbahngruppen zugeordnet ist,</w:t>
      </w:r>
    </w:p>
    <w:p>
      <w:r>
        <w:t xml:space="preserve">enthalten.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30 LVO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https://recht.nulegal.eu/gesetze/LVO/30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