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LVO (Brandenburg) — Förderung der Leistungsfähigkeit</w:t>
      </w:r>
    </w:p>
    <w:p>
      <w:r>
        <w:rPr>
          <w:color w:val="555555"/>
          <w:sz w:val="18"/>
        </w:rPr>
        <w:t xml:space="preserve">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Eignung, Befähigung und fachliche Leistung sollen durch geeignete Personalführungs- und -entwicklungsmaßnahmen erhalten und gefördert werden. Neben den in den §§ 19 und 23 des Landesbeamtengesetzes vom 3. April 2009 (GVBl. I S. 26), das zuletzt durch das Gesetz vom 5. Juni 2019 (GVBl. I Nr. 19) geändert worden ist, genannten Maßnahmen gehören dazu insbesondere</w:t>
      </w:r>
    </w:p>
    <w:p>
      <w:r>
        <w:t xml:space="preserve">Mitarbeiter-Vorgesetzten-Gespräche,</w:t>
      </w:r>
    </w:p>
    <w:p>
      <w:r>
        <w:t xml:space="preserve">Zielvereinbarungen,</w:t>
      </w:r>
    </w:p>
    <w:p>
      <w:r>
        <w:t xml:space="preserve">die Möglichkeit der Einschätzung der Vorgesetzten durch die Mitarbeiterinnen und Mitarbeiter,</w:t>
      </w:r>
    </w:p>
    <w:p>
      <w:r>
        <w:t xml:space="preserve">ein die Fähigkeiten und Kenntnisse erweiternder Wechsel der Verwendung, wie auch die Tätigkeit bei internationalen Organisationen,</w:t>
      </w:r>
    </w:p>
    <w:p>
      <w:r>
        <w:t xml:space="preserve">die Führungskräftefortbildung und -entwicklung sowie</w:t>
      </w:r>
    </w:p>
    <w:p>
      <w:r>
        <w:t xml:space="preserve">Maßnahmen des Gesundheitsmanagements.</w:t>
      </w:r>
    </w:p>
    <w:p>
      <w:r>
        <w:t xml:space="preserve">(2) Über die Einführung und Ausgestaltung der Personalführungs- und -entwicklungsmaßnahmen entscheidet die oberste Dienstbehörde; sie kann diese Befugnis auf nachgeordnete Stellen übertragen.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LVO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https://recht.nulegal.eu/gesetze/LVO/2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