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LVO (Brandenburg) — Voraussetzungen einer Beförderung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Beförderung ist die Verleihung eines anderen Amtes mit höherem Endgrundgehalt; Amtszulagen gelten als Bestandteil des Grundgehaltes. Eine Beamtin oder ein Beamter kann befördert werden, wenn</w:t>
      </w:r>
    </w:p>
    <w:p>
      <w:r>
        <w:t xml:space="preserve">sie oder er nach Eignung, Befähigung und fachlicher Leistung ausgewählt worden ist,</w:t>
      </w:r>
    </w:p>
    <w:p>
      <w:r>
        <w:t xml:space="preserve">die Eignung für die höherwertige Funktion in einer Erprobungszeit nachgewiesen wurde und</w:t>
      </w:r>
    </w:p>
    <w:p>
      <w:r>
        <w:t xml:space="preserve">kein Beförderungsverbot vorliegt.</w:t>
      </w:r>
    </w:p>
    <w:p>
      <w:r>
        <w:t xml:space="preserve">(2) Die Ämter der Bundesbesoldungsordnung A sind regelmäßig zu durchlaufen. Bei einem Aufstieg in die nächsthöhere Laufbahngruppe brauchen die noch nicht erreichten Ämter der bisherigen Laufbahngruppe nicht durchlaufen zu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