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LUKG (Nordrhein-Westfalen)</w:t>
      </w:r>
    </w:p>
    <w:p>
      <w:r>
        <w:rPr>
          <w:color w:val="555555"/>
          <w:sz w:val="18"/>
        </w:rPr>
        <w:t xml:space="preserve">Landesumzugskostengesetz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Dezember 2025</w:t>
      </w:r>
    </w:p>
    <w:p>
      <w:r>
        <w:t xml:space="preserve">(Artikel 1 des Gesetzes vom 2. Dezember 2025 (GV. NRW. S. 1128))</w:t>
      </w:r>
    </w:p>
    <w:p>
      <w:r>
        <w:rPr>
          <w:color w:val="555555"/>
          <w:sz w:val="17"/>
        </w:rPr>
        <w:t xml:space="preserve">Zitiervorschlag: Eingangsformel LUKG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