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LUKG (Nordrhein-Westfalen) — Zuständigkeiten</w:t>
      </w:r>
    </w:p>
    <w:p>
      <w:r>
        <w:rPr>
          <w:color w:val="555555"/>
          <w:sz w:val="18"/>
        </w:rPr>
        <w:t xml:space="preserve">Landesumzugskostengesetz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den Gemeinden, Gemeindeverbänden und den sonstigen der Aufsicht des Landes unterstehenden Körperschaften, Anstalten und Stiftungen des öffentlichen Rechts ist in den Fällen des § 5 Absatz 5 Satz 2 die oder der Dienstvorgesetzte zuständig.</w:t>
      </w:r>
    </w:p>
    <w:p>
      <w:r>
        <w:t xml:space="preserve">(2) Die Landesregierung wird ermächtigt, durch Rechtsverordnung die Festsetzung und Abrechnung der Umzugskostenvergütung, der Trennungsentschädigung gemäß § 11 und der Fahrtkostenerstattung in den Fällen des § 12 bei einer oder mehreren Behörden zu zentralisieren.</w:t>
      </w:r>
    </w:p>
    <w:p>
      <w:r>
        <w:rPr>
          <w:color w:val="555555"/>
          <w:sz w:val="17"/>
        </w:rPr>
        <w:t xml:space="preserve">Zitiervorschlag: § 13 LUKG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https://recht.nulegal.eu/gesetze/LUKG/13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