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LTeilhGG (Brandenburg) — Antrag</w:t>
      </w:r>
    </w:p>
    <w:p>
      <w:r>
        <w:rPr>
          <w:color w:val="555555"/>
          <w:sz w:val="18"/>
        </w:rPr>
        <w:t xml:space="preserve">Landesteilhabegeldgesetz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Das Teilhabegeld wird auf Antrag geleistet.</w:t>
      </w:r>
    </w:p>
    <w:p>
      <w:r>
        <w:t xml:space="preserve">(2) Der Empfänger von Teilhabegeld ist verpflichtet, Änderungen der Tatsachen, die für die Gewährung maßgebend sind, unverzüglich anzuzeigen. Dazu gehören insbesondere:</w:t>
      </w:r>
    </w:p>
    <w:p>
      <w:r>
        <w:t xml:space="preserve">Änderungen des gewöhnlichen Aufenthaltsorts,</w:t>
      </w:r>
    </w:p>
    <w:p>
      <w:r>
        <w:t xml:space="preserve">Änderungen des Seh- und Hörvermögens,</w:t>
      </w:r>
    </w:p>
    <w:p>
      <w:r>
        <w:t xml:space="preserve">die Aufnahme in eine stationäre Einrichtung,</w:t>
      </w:r>
    </w:p>
    <w:p>
      <w:r>
        <w:t xml:space="preserve">Tatsachen, die zu einem Ausschluss des Anspruchs nach § 4 führen,</w:t>
      </w:r>
    </w:p>
    <w:p>
      <w:r>
        <w:t xml:space="preserve">ein Anspruch auf oder der Erhalt von Sach- oder Geldleistungen, die zum Ausgleich der behinderungsbedingten Mehraufwendungen bestimmt sind.</w:t>
      </w:r>
    </w:p>
    <w:p>
      <w:r>
        <w:t xml:space="preserve">Bei Geschäftsunfähigkeit, beschränkter Geschäftsfähigkeit oder sofern eine rechtliche Betreuung für den entsprechenden Aufgabenkreis besteht, trifft die Verpflichtung den gesetzlichen Vertreter oder den rechtlichen Betreuer.</w:t>
      </w:r>
    </w:p>
    <w:p>
      <w:r>
        <w:rPr>
          <w:color w:val="555555"/>
          <w:sz w:val="17"/>
        </w:rPr>
        <w:t xml:space="preserve">Zitiervorschlag: § 7 LTeilhGG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https://recht.nulegal.eu/gesetze/LTeilhGG/7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