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LTeilhGG (Brandenburg) — Anrechnung gleichartiger Leistungen</w:t>
      </w:r>
    </w:p>
    <w:p>
      <w:r>
        <w:rPr>
          <w:color w:val="555555"/>
          <w:sz w:val="18"/>
        </w:rPr>
        <w:t xml:space="preserve">Landesteilhabegeldgesetz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Leistungen, die der Berechtigte zum Ausgleich der durch seine Behinderung bedingten Mehraufwendungen nach anderen Rechtsvorschriften erhält, werden auf das Teilhabegeld angerechnet. Ausgenommen sind Leistungen aus bürgerlich-rechtlichen Unterhaltsansprüchen. Satz 1 gilt entsprechend für Leistungen nach ausländischen Rechtsvorschriften.</w:t>
      </w:r>
    </w:p>
    <w:p>
      <w:r>
        <w:t xml:space="preserve">(2) Bei Personen nach § 2 Nummer 2 oder Nummer 4 werden Leistungen bei häuslicher Pflege nach den §§ 36 bis 39 des Elften Buches Sozialgesetzbuch, bei teilstationärer Pflege nach § 41 des Elften Buches Sozialgesetzbuch und bei Kurzzeitpflege nach § 42 des Elften Buches Sozialgesetzbuch, auch soweit es sich um Sachleistungen handelt,</w:t>
      </w:r>
    </w:p>
    <w:p>
      <w:r>
        <w:t xml:space="preserve">bei dem Pflegegrad 2 mit 46 Prozent des Pflegegeldes nach § 37 Absatz 1 Satz 3 Nummer 1 des Elften Buches Sozialgesetzbuch und</w:t>
      </w:r>
    </w:p>
    <w:p>
      <w:r>
        <w:t xml:space="preserve">bei Pflegebedürftigen der Pflegegrade 3, 4 oder 5 mit 33 Prozent des Pflegegeldes nach § 37 Absatz 1 Satz 3 Nummer 2 des Elften Buches Sozialgesetzbuch</w:t>
      </w:r>
    </w:p>
    <w:p>
      <w:r>
        <w:t xml:space="preserve">auf das Teilhabegeld angerechnet. Entsprechende Leistungen aufgrund eines Pflegeversicherungsvertrages mit einem privaten Versicherungsunternehmen werden höchstens in dem sich aus Satz 1 ergebenden Umfang angerechnet. Die Sätze 1 und 2 gelten entsprechend, wenn Leistungen zusammen mit Leistungen nach beihilferechtlichen Vorschriften erbracht werden.</w:t>
      </w:r>
    </w:p>
    <w:p>
      <w:r>
        <w:t xml:space="preserve">(3) Werden Leistungen nachgezahlt, die auf das Teilhabegeld anzurechnen sind, so hat der Berechtigte die überzahlten Beträge des Teilhabegeldes zu erstatten.</w:t>
      </w:r>
    </w:p>
    <w:p>
      <w:r>
        <w:rPr>
          <w:color w:val="555555"/>
          <w:sz w:val="17"/>
        </w:rPr>
        <w:t xml:space="preserve">Zitiervorschlag: § 5 LTeilhGG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https://recht.nulegal.eu/gesetze/LTeilhGG/5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