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LTeilhGG (Brandenburg) — Ausschluss des Anspruchs</w:t>
      </w:r>
    </w:p>
    <w:p>
      <w:r>
        <w:rPr>
          <w:color w:val="555555"/>
          <w:sz w:val="18"/>
        </w:rPr>
        <w:t xml:space="preserve">Landesteilhabegeldgesetz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Außer Kraft: § 4 ist seit 01.08.2026 nicht mehr im LTeilhGG enthalten. Angezeigt wird die letzte bekannte Fassung, Stand 30.07.2026.</w:t>
      </w:r>
    </w:p>
    <w:p>
      <w:r>
        <w:t xml:space="preserve">(1) Während der Dauer eines Freiheitsentzuges aufgrund einer gerichtlichen Entscheidung ist der Anspruch ausgeschlossen.</w:t>
      </w:r>
    </w:p>
    <w:p>
      <w:r>
        <w:t xml:space="preserve">(2) Anspruchsberechtigte Personen nach § 2 haben keinen Anspruch auf Teilhabegeld nach diesem Gesetz, wenn sie Entschädigungsleistungen für die gleiche Behinderung, wegen der sie nach § 2 anspruchsberechtigt sind,</w:t>
      </w:r>
    </w:p>
    <w:p>
      <w:r>
        <w:t xml:space="preserve">nach dem Vierzehnten Buch Sozialgesetzbuch und nach den Gesetzen, die eine entsprechende Anwendung des Vierzehnten Buches Sozialgesetzbuch vorsehen,</w:t>
      </w:r>
    </w:p>
    <w:p>
      <w:r>
        <w:t xml:space="preserve">aus der gesetzlichen Unfallversicherung,</w:t>
      </w:r>
    </w:p>
    <w:p>
      <w:r>
        <w:t xml:space="preserve">aus öffentlichen Kassen aufgrund gesetzlich geregelter Unfallversorgung oder Unfallfürsorge oder</w:t>
      </w:r>
    </w:p>
    <w:p>
      <w:r>
        <w:t xml:space="preserve">nach ausländischen Rechtsvorschriften</w:t>
      </w:r>
    </w:p>
    <w:p>
      <w:r>
        <w:t xml:space="preserve">erhalten.</w:t>
      </w:r>
    </w:p>
    <w:p>
      <w:r>
        <w:rPr>
          <w:color w:val="555555"/>
          <w:sz w:val="17"/>
        </w:rPr>
        <w:t xml:space="preserve">Zitiervorschlag: § 4 LTeilhGG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https://recht.nulegal.eu/gesetze/LTeilhGG/4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