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LTV</w:t>
      </w:r>
    </w:p>
    <w:p>
      <w:r>
        <w:rPr>
          <w:color w:val="555555"/>
          <w:sz w:val="18"/>
        </w:rPr>
        <w:t xml:space="preserve">Lotstarifverordnung</w:t>
      </w:r>
    </w:p>
    <w:p>
      <w:r>
        <w:rPr>
          <w:color w:val="555555"/>
          <w:sz w:val="18"/>
        </w:rPr>
        <w:t xml:space="preserve">Stand: 30.04.2024 (konsolidierte Textfassung, kein amtliches Inkrafttretensdatum)</w:t>
      </w:r>
    </w:p>
    <w:p>
      <w:r>
        <w:t xml:space="preserve">§ 2 Absatz 4 Satz 1 Nummer 2 Buchstabe b ist ab dem 1. Januar 2024 nicht mehr anzuwenden.</w:t>
      </w:r>
    </w:p>
    <w:p>
      <w:r>
        <w:rPr>
          <w:color w:val="555555"/>
          <w:sz w:val="17"/>
        </w:rPr>
        <w:t xml:space="preserve">Zitiervorschlag: § 8 LTV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